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AfriRemoteLabs Consolidated Equipment and Budget</w:t>
      </w:r>
    </w:p>
    <w:p>
      <w:pPr>
        <w:pStyle w:val="Heading1"/>
      </w:pPr>
      <w:r>
        <w:t>Phase 1 JOOUST Remote Laboratory Demonstration Centre</w:t>
      </w:r>
    </w:p>
    <w:p>
      <w:r>
        <w:t>All 13 stations consolidated in one table</w:t>
        <w:br/>
        <w:t>USD | Provisional budget for scrutiny | 9 October 2026</w:t>
      </w:r>
    </w:p>
    <w:p>
      <w:r>
        <w:t>The priced capital requirement is US$2,004,450 including 15 percent contingency. Adding one full operating year gives US$2,214,450. This is a priced planning total, not a complete landed project cost: the items marked TBD require additional quotations.</w:t>
      </w:r>
    </w:p>
    <w:p>
      <w:r>
        <w:t>Unit prices are provisional allocations of the earlier budget, not verified supplier quotations. Where equivalent support items have different station allowances, the unit-cost column shows the range and the subtotal sums the individual allowances; do not multiply the quantity by a range endpoint. Quantities refer to units, sets or packages as named; development quantities are hours. Recurring staffing uses person months and recurring utilities use months. Generic package contents remain subject to specification.</w:t>
      </w:r>
    </w:p>
    <w:p>
      <w:r>
        <w:t>Shared UV Vis, FTIR and Raman equipment is purchased once. Native controllers are included in the instrument allowances. Deduct bundled computers, cameras, licences and commissioning before procurement. Local GPUs and the central GPU server are separate provisional provisions; confirm whether both are required. Client users supply existing devices and internet.</w:t>
      </w:r>
    </w:p>
    <w:p>
      <w:r>
        <w:br w:type="page"/>
      </w:r>
    </w:p>
    <w:tbl>
      <w:tblPr>
        <w:tblW w:type="auto" w:w="0"/>
        <w:jc w:val="center"/>
        <w:tblLayout w:type="fixed"/>
        <w:tblLook w:firstColumn="1" w:firstRow="1" w:lastColumn="0" w:lastRow="0" w:noHBand="0" w:noVBand="1" w:val="04A0"/>
      </w:tblPr>
      <w:tblGrid>
        <w:gridCol w:w="547"/>
        <w:gridCol w:w="1368"/>
        <w:gridCol w:w="4392"/>
        <w:gridCol w:w="1152"/>
        <w:gridCol w:w="1613"/>
        <w:gridCol w:w="1440"/>
      </w:tblGrid>
      <w:tr>
        <w:trPr>
          <w:tblHeader/>
          <w:cantSplit/>
        </w:trPr>
        <w:tc>
          <w:tcPr>
            <w:tcW w:type="dxa" w:w="547"/>
            <w:vAlign w:val="center"/>
            <w:tcBorders>
              <w:top w:val="single" w:sz="4" w:color="D9D9D9"/>
              <w:bottom w:val="single" w:sz="4" w:color="D9D9D9"/>
              <w:left w:val="single" w:sz="4" w:color="D9D9D9"/>
              <w:right w:val="single" w:sz="4" w:color="D9D9D9"/>
            </w:tcBorders>
            <w:shd w:fill="17365D"/>
            <w:tcMar>
              <w:top w:w="65" w:type="dxa"/>
              <w:bottom w:w="65" w:type="dxa"/>
              <w:left w:w="65" w:type="dxa"/>
              <w:right w:w="65" w:type="dxa"/>
            </w:tcMar>
          </w:tcPr>
          <w:p>
            <w:pPr>
              <w:spacing w:after="0" w:before="0" w:line="240" w:lineRule="auto"/>
              <w:jc w:val="right"/>
            </w:pPr>
            <w:r>
              <w:rPr>
                <w:b/>
                <w:color w:val="FFFFFF"/>
                <w:sz w:val="18"/>
              </w:rPr>
              <w:t>No.</w:t>
            </w:r>
          </w:p>
        </w:tc>
        <w:tc>
          <w:tcPr>
            <w:tcW w:type="dxa" w:w="1368"/>
            <w:vAlign w:val="center"/>
            <w:tcBorders>
              <w:top w:val="single" w:sz="4" w:color="D9D9D9"/>
              <w:bottom w:val="single" w:sz="4" w:color="D9D9D9"/>
              <w:left w:val="single" w:sz="4" w:color="D9D9D9"/>
              <w:right w:val="single" w:sz="4" w:color="D9D9D9"/>
            </w:tcBorders>
            <w:shd w:fill="17365D"/>
            <w:tcMar>
              <w:top w:w="65" w:type="dxa"/>
              <w:bottom w:w="65" w:type="dxa"/>
              <w:left w:w="65" w:type="dxa"/>
              <w:right w:w="65" w:type="dxa"/>
            </w:tcMar>
          </w:tcPr>
          <w:p>
            <w:pPr>
              <w:spacing w:after="0" w:before="0" w:line="240" w:lineRule="auto"/>
            </w:pPr>
            <w:r>
              <w:rPr>
                <w:b/>
                <w:color w:val="FFFFFF"/>
                <w:sz w:val="18"/>
              </w:rPr>
              <w:t>Category</w:t>
            </w:r>
          </w:p>
        </w:tc>
        <w:tc>
          <w:tcPr>
            <w:tcW w:type="dxa" w:w="4392"/>
            <w:vAlign w:val="center"/>
            <w:tcBorders>
              <w:top w:val="single" w:sz="4" w:color="D9D9D9"/>
              <w:bottom w:val="single" w:sz="4" w:color="D9D9D9"/>
              <w:left w:val="single" w:sz="4" w:color="D9D9D9"/>
              <w:right w:val="single" w:sz="4" w:color="D9D9D9"/>
            </w:tcBorders>
            <w:shd w:fill="17365D"/>
            <w:tcMar>
              <w:top w:w="65" w:type="dxa"/>
              <w:bottom w:w="65" w:type="dxa"/>
              <w:left w:w="65" w:type="dxa"/>
              <w:right w:w="65" w:type="dxa"/>
            </w:tcMar>
          </w:tcPr>
          <w:p>
            <w:pPr>
              <w:spacing w:after="0" w:before="0" w:line="240" w:lineRule="auto"/>
            </w:pPr>
            <w:r>
              <w:rPr>
                <w:b/>
                <w:color w:val="FFFFFF"/>
                <w:sz w:val="18"/>
              </w:rPr>
              <w:t>Item or requirement</w:t>
            </w:r>
          </w:p>
        </w:tc>
        <w:tc>
          <w:tcPr>
            <w:tcW w:type="dxa" w:w="1152"/>
            <w:vAlign w:val="center"/>
            <w:tcBorders>
              <w:top w:val="single" w:sz="4" w:color="D9D9D9"/>
              <w:bottom w:val="single" w:sz="4" w:color="D9D9D9"/>
              <w:left w:val="single" w:sz="4" w:color="D9D9D9"/>
              <w:right w:val="single" w:sz="4" w:color="D9D9D9"/>
            </w:tcBorders>
            <w:shd w:fill="17365D"/>
            <w:tcMar>
              <w:top w:w="65" w:type="dxa"/>
              <w:bottom w:w="65" w:type="dxa"/>
              <w:left w:w="65" w:type="dxa"/>
              <w:right w:w="65" w:type="dxa"/>
            </w:tcMar>
          </w:tcPr>
          <w:p>
            <w:pPr>
              <w:spacing w:after="0" w:before="0" w:line="240" w:lineRule="auto"/>
              <w:jc w:val="right"/>
            </w:pPr>
            <w:r>
              <w:rPr>
                <w:b/>
                <w:color w:val="FFFFFF"/>
                <w:sz w:val="18"/>
              </w:rPr>
              <w:t>Quantity</w:t>
            </w:r>
          </w:p>
        </w:tc>
        <w:tc>
          <w:tcPr>
            <w:tcW w:type="dxa" w:w="1613"/>
            <w:vAlign w:val="center"/>
            <w:tcBorders>
              <w:top w:val="single" w:sz="4" w:color="D9D9D9"/>
              <w:bottom w:val="single" w:sz="4" w:color="D9D9D9"/>
              <w:left w:val="single" w:sz="4" w:color="D9D9D9"/>
              <w:right w:val="single" w:sz="4" w:color="D9D9D9"/>
            </w:tcBorders>
            <w:shd w:fill="17365D"/>
            <w:tcMar>
              <w:top w:w="65" w:type="dxa"/>
              <w:bottom w:w="65" w:type="dxa"/>
              <w:left w:w="65" w:type="dxa"/>
              <w:right w:w="65" w:type="dxa"/>
            </w:tcMar>
          </w:tcPr>
          <w:p>
            <w:pPr>
              <w:spacing w:after="0" w:before="0" w:line="240" w:lineRule="auto"/>
              <w:jc w:val="right"/>
            </w:pPr>
            <w:r>
              <w:rPr>
                <w:b/>
                <w:color w:val="FFFFFF"/>
                <w:sz w:val="18"/>
              </w:rPr>
              <w:t>Unit cost USD</w:t>
            </w:r>
          </w:p>
        </w:tc>
        <w:tc>
          <w:tcPr>
            <w:tcW w:type="dxa" w:w="1440"/>
            <w:vAlign w:val="center"/>
            <w:tcBorders>
              <w:top w:val="single" w:sz="4" w:color="D9D9D9"/>
              <w:bottom w:val="single" w:sz="4" w:color="D9D9D9"/>
              <w:left w:val="single" w:sz="4" w:color="D9D9D9"/>
              <w:right w:val="single" w:sz="4" w:color="D9D9D9"/>
            </w:tcBorders>
            <w:shd w:fill="17365D"/>
            <w:tcMar>
              <w:top w:w="65" w:type="dxa"/>
              <w:bottom w:w="65" w:type="dxa"/>
              <w:left w:w="65" w:type="dxa"/>
              <w:right w:w="65" w:type="dxa"/>
            </w:tcMar>
          </w:tcPr>
          <w:p>
            <w:pPr>
              <w:spacing w:after="0" w:before="0" w:line="240" w:lineRule="auto"/>
              <w:jc w:val="right"/>
            </w:pPr>
            <w:r>
              <w:rPr>
                <w:b/>
                <w:color w:val="FFFFFF"/>
                <w:sz w:val="18"/>
              </w:rPr>
              <w:t>Total USD</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Dynamics track and carts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2,200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2,200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Motion detectors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1,200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Force sensors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4</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250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Wireless acceleration sensors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Photogates and timers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400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Springs, masses and friction apparatus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600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600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DAQ and wireless interfaces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Guarded actuator and local stop</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Mounts and experiment fixtures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Computing</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Host workstation CPU/RAM/SSD</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1,200 to 4,800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30,600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Computing</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Monitor, keyboard, NIC and interface accessories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13</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800 to 1,600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14,000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Software</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Acquisition/control licence allocation</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900 to 10,800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39,900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Software</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Analysis/SDK/support allocation</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13</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600 to 7,200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26,600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Integration</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Station gateway computer/interface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500 to 900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10,900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Integration</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Demonstration camera and mounting</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13</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375 to 700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8,375</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Integration</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Driver/API development (engineering hours)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1391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69,550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Integration</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Station testing and recovery validation</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13</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475 to 10,000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29,675</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Commissioning</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Installation and acceptance allowance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750 to 20,000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50,750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Commissioning</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Operator training allowance</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13</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450 to 12,000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30,450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Commissioning</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Initial method validation/calibration allowance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300 to 8,000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20,300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Temperature probes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Temperature DAQ/logger</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900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900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Calorimetry and heating apparatus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Independent temperature cutoff</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Approved heater controller</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Fixtures and insulated vessels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Optical bench and alignment mounts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Light sources and holders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Optical sensors and meters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Motorized stage/filter assembly</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Optical sensor DAQ</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Filters, lenses and reference samples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AFM including native scanner controller</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78,000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78,000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Vibration isolation allowance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Probe starter stock</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20</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Reference specimens and calibration standards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Sample mounts and preparation kit</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Computing</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GPU allowance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6</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800 to 1,600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6,400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STM including low-noise native controller</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35,000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35,000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Vibration/acoustic isolation allowance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41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Conductive reference samples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Tip stock and preparation tools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43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Sample holders and mounts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Programmable UV-Vis with native acquisition</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13,500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13,500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45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Quartz cells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Automated sample accessory allowance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47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Standards, holders and sampling accessories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FTIR with native acquisition</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30,000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30,000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49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ATR sampling accessory</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Raman with native detector/controller</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45,000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45,000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Raman enclosure and laser safeguards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Reference standards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Sample holders and preparation tools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Mapping-stage allowance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Automated titrator and native controller</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Sample changer</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7,000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7,000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Dosing/burette assemblies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pH/conductivity probes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Reagent/waste containment</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60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Reference buffers and accessories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Digital microscope optical system</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62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Microscope camera</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2,500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2,500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Motorized stage/focus controller</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64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Calibration slide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Illumination accessories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66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Prepared specimens and mounts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Multimode reader with native controller</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25,000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25,000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68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Temperature-controlled incubation</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3,500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3,500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Precision pipette set</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70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Plate and reagent starter stock</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1,500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1,500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71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Temperature probes/logger</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72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Sample-preparation bench equipment</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1,500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1,500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73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Small ancillary assay equipment</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74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SEM with native imaging/detector controllers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210,000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210,000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75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Specimen coating equipment allowance</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12,000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12,000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76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Preparation tools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77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Stubs, standards and starter supplies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78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Vacuum/chiller accessories allowance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79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Sample fixtures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80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Conventional TEM with native controls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520,000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520,000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Digital TEM camera allowance</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70,000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70,000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82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Thin-specimen preparation allowance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30,000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30,000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Holders and reference specimens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84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Grids and preparation supplies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Multi-channel DAQ development kit</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3,000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86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Wireless gateway/receivers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Voltage/current/light sensor assortment</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1,200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1,200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88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Calibration references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Isolated I/O and protection</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90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Equipment</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Cables and connectors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800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800</w:t>
            </w:r>
          </w:p>
        </w:tc>
      </w:tr>
      <w:tr>
        <w:trPr>
          <w:cantSplit/>
        </w:trPr>
        <w:tc>
          <w:tcPr>
            <w:tcW w:type="dxa" w:w="547"/>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91</w:t>
            </w:r>
          </w:p>
        </w:tc>
        <w:tc>
          <w:tcPr>
            <w:tcW w:type="dxa" w:w="1368"/>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Subtotal</w:t>
            </w:r>
          </w:p>
        </w:tc>
        <w:tc>
          <w:tcPr>
            <w:tcW w:type="dxa" w:w="439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All station items</w:t>
            </w:r>
          </w:p>
        </w:tc>
        <w:tc>
          <w:tcPr>
            <w:tcW w:type="dxa" w:w="115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613"/>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440"/>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1,598,000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92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Portal development (hours)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300</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15,000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93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Secure server/gateway configuration (hours)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94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Platform testing/documentation (hours)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5,000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95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Managed network switch</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96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Firewall and security appliance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1,500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1,500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97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Network installation/cabling</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2,500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2,500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98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Backup connectivity hardware/setup</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2,500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2,500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99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Storage and backup server</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6,500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6,500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Backup storage/media</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3,500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3,500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Shared analysis server CPU/RAM/SSD</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Shared GPU</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4,500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4,500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Server accessories/networking</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Controller UPS units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700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9,100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Surge protection and power management</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5,900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5,900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Electrical/earthing upgrades allowance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Cooling/ventilation allowance</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25,000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25,000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Isolation/room preparation allowance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15,000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15,000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Shared capital</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Benchwork and utility connections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15,000</w:t>
            </w:r>
          </w:p>
        </w:tc>
      </w:tr>
      <w:tr>
        <w:trPr>
          <w:cantSplit/>
        </w:trPr>
        <w:tc>
          <w:tcPr>
            <w:tcW w:type="dxa" w:w="547"/>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110</w:t>
            </w:r>
          </w:p>
        </w:tc>
        <w:tc>
          <w:tcPr>
            <w:tcW w:type="dxa" w:w="1368"/>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Subtotal</w:t>
            </w:r>
          </w:p>
        </w:tc>
        <w:tc>
          <w:tcPr>
            <w:tcW w:type="dxa" w:w="439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Shared capital subtotal</w:t>
            </w:r>
          </w:p>
        </w:tc>
        <w:tc>
          <w:tcPr>
            <w:tcW w:type="dxa" w:w="115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613"/>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440"/>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145,000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111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Technical coordinator</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12</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24,000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112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Laboratory technicians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24</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1,500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36,000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113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Administrative/access coordination</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12</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500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6,000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114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Employer costs/training allowance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4,000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115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SEM service provision</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20,000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20,000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116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TEM service provision</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35,000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35,000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117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AFM/STM service provision</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10,000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118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Other calibration/service</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119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Chemistry consumables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120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Biology consumables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7,000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7,000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121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Microscopy consumables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8,000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122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Physics consumables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2,000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123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Internet services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12</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700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8,400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124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Hosting/data services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12</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3,600</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125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Electricity/water/cooling</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12</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1,500</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18,000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126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Year-one operations</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Recurring licences/support</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10,000</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10,000</w:t>
            </w:r>
          </w:p>
        </w:tc>
      </w:tr>
      <w:tr>
        <w:trPr>
          <w:cantSplit/>
        </w:trPr>
        <w:tc>
          <w:tcPr>
            <w:tcW w:type="dxa" w:w="547"/>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127</w:t>
            </w:r>
          </w:p>
        </w:tc>
        <w:tc>
          <w:tcPr>
            <w:tcW w:type="dxa" w:w="1368"/>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Subtotal</w:t>
            </w:r>
          </w:p>
        </w:tc>
        <w:tc>
          <w:tcPr>
            <w:tcW w:type="dxa" w:w="439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Year-one operations subtotal</w:t>
            </w:r>
          </w:p>
        </w:tc>
        <w:tc>
          <w:tcPr>
            <w:tcW w:type="dxa" w:w="115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613"/>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440"/>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210,000</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128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Biology temperature-probe count</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Included</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Included</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129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Biological sample-preparation components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Included</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Included</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Thin-specimen preparation components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Included</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Included</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131</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Additional safety equipment and PPE</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TBD</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TBD</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132</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Chemical/biological waste disposal beyond consumables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TBD</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TBD</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133</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Specialist microscopy staffing beyond staffing allowance</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TBD</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TBD</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134</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Packing and international freight</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TBD</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TBD</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135</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Cargo insurance</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TBD</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TBD</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136</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Customs clearance and applicable duties/taxes</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TBD</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TBD</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137</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Vendor travel beyond commissioning scope</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TBD</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TBD</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138</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Institutional client laptops/headsets if required</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TBD</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TBD</w:t>
            </w:r>
          </w:p>
        </w:tc>
      </w:tr>
      <w:tr>
        <w:trPr>
          <w:cantSplit/>
        </w:trPr>
        <w:tc>
          <w:tcPr>
            <w:tcW w:type="dxa" w:w="547"/>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139</w:t>
            </w:r>
          </w:p>
        </w:tc>
        <w:tc>
          <w:tcPr>
            <w:tcW w:type="dxa" w:w="1368"/>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pPr>
            <w:r>
              <w:rPr>
                <w:b w:val="0"/>
                <w:color w:val="000000"/>
                <w:sz w:val="18"/>
              </w:rPr>
              <w:t>Major construction or excess facility upgrades</w:t>
            </w:r>
          </w:p>
        </w:tc>
        <w:tc>
          <w:tcPr>
            <w:tcW w:type="dxa" w:w="1152"/>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TBD</w:t>
            </w:r>
          </w:p>
        </w:tc>
        <w:tc>
          <w:tcPr>
            <w:tcW w:type="dxa" w:w="1440"/>
            <w:vAlign w:val="center"/>
            <w:tcBorders>
              <w:top w:val="single" w:sz="4" w:color="D9D9D9"/>
              <w:bottom w:val="single" w:sz="4" w:color="D9D9D9"/>
              <w:left w:val="single" w:sz="4" w:color="D9D9D9"/>
              <w:right w:val="single" w:sz="4" w:color="D9D9D9"/>
            </w:tcBorders>
            <w:shd w:fill="FFFFFF"/>
            <w:tcMar>
              <w:top w:w="65" w:type="dxa"/>
              <w:bottom w:w="65" w:type="dxa"/>
              <w:left w:w="65" w:type="dxa"/>
              <w:right w:w="65" w:type="dxa"/>
            </w:tcMar>
          </w:tcPr>
          <w:p>
            <w:pPr>
              <w:spacing w:after="0" w:before="0" w:line="240" w:lineRule="auto"/>
              <w:jc w:val="right"/>
            </w:pPr>
            <w:r>
              <w:rPr>
                <w:b w:val="0"/>
                <w:color w:val="000000"/>
                <w:sz w:val="18"/>
              </w:rPr>
              <w:t>TBD</w:t>
            </w:r>
          </w:p>
        </w:tc>
      </w:tr>
      <w:tr>
        <w:trPr>
          <w:cantSplit/>
        </w:trPr>
        <w:tc>
          <w:tcPr>
            <w:tcW w:type="dxa" w:w="547"/>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140</w:t>
            </w:r>
          </w:p>
        </w:tc>
        <w:tc>
          <w:tcPr>
            <w:tcW w:type="dxa" w:w="1368"/>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Scope to confirm</w:t>
            </w:r>
          </w:p>
        </w:tc>
        <w:tc>
          <w:tcPr>
            <w:tcW w:type="dxa" w:w="439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pPr>
            <w:r>
              <w:rPr>
                <w:b w:val="0"/>
                <w:color w:val="000000"/>
                <w:sz w:val="18"/>
              </w:rPr>
              <w:t>Specialized biosafety infrastructure if required</w:t>
            </w:r>
          </w:p>
        </w:tc>
        <w:tc>
          <w:tcPr>
            <w:tcW w:type="dxa" w:w="1152"/>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To confirm</w:t>
            </w:r>
          </w:p>
        </w:tc>
        <w:tc>
          <w:tcPr>
            <w:tcW w:type="dxa" w:w="1613"/>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TBD</w:t>
            </w:r>
          </w:p>
        </w:tc>
        <w:tc>
          <w:tcPr>
            <w:tcW w:type="dxa" w:w="1440"/>
            <w:vAlign w:val="center"/>
            <w:tcBorders>
              <w:top w:val="single" w:sz="4" w:color="D9D9D9"/>
              <w:bottom w:val="single" w:sz="4" w:color="D9D9D9"/>
              <w:left w:val="single" w:sz="4" w:color="D9D9D9"/>
              <w:right w:val="single" w:sz="4" w:color="D9D9D9"/>
            </w:tcBorders>
            <w:shd w:fill="F5F7FA"/>
            <w:tcMar>
              <w:top w:w="65" w:type="dxa"/>
              <w:bottom w:w="65" w:type="dxa"/>
              <w:left w:w="65" w:type="dxa"/>
              <w:right w:w="65" w:type="dxa"/>
            </w:tcMar>
          </w:tcPr>
          <w:p>
            <w:pPr>
              <w:spacing w:after="0" w:before="0" w:line="240" w:lineRule="auto"/>
              <w:jc w:val="right"/>
            </w:pPr>
            <w:r>
              <w:rPr>
                <w:b w:val="0"/>
                <w:color w:val="000000"/>
                <w:sz w:val="18"/>
              </w:rPr>
              <w:t>TBD</w:t>
            </w:r>
          </w:p>
        </w:tc>
      </w:tr>
      <w:tr>
        <w:trPr>
          <w:cantSplit/>
        </w:trPr>
        <w:tc>
          <w:tcPr>
            <w:tcW w:type="dxa" w:w="547"/>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141</w:t>
            </w:r>
          </w:p>
        </w:tc>
        <w:tc>
          <w:tcPr>
            <w:tcW w:type="dxa" w:w="1368"/>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Summary</w:t>
            </w:r>
          </w:p>
        </w:tc>
        <w:tc>
          <w:tcPr>
            <w:tcW w:type="dxa" w:w="439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Priced capital before contingency</w:t>
            </w:r>
          </w:p>
        </w:tc>
        <w:tc>
          <w:tcPr>
            <w:tcW w:type="dxa" w:w="115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613"/>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440"/>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1,743,000</w:t>
            </w:r>
          </w:p>
        </w:tc>
      </w:tr>
      <w:tr>
        <w:trPr>
          <w:cantSplit/>
        </w:trPr>
        <w:tc>
          <w:tcPr>
            <w:tcW w:type="dxa" w:w="547"/>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142</w:t>
            </w:r>
          </w:p>
        </w:tc>
        <w:tc>
          <w:tcPr>
            <w:tcW w:type="dxa" w:w="1368"/>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Summary</w:t>
            </w:r>
          </w:p>
        </w:tc>
        <w:tc>
          <w:tcPr>
            <w:tcW w:type="dxa" w:w="439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Contingency on priced capital</w:t>
            </w:r>
          </w:p>
        </w:tc>
        <w:tc>
          <w:tcPr>
            <w:tcW w:type="dxa" w:w="115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15%</w:t>
            </w:r>
          </w:p>
        </w:tc>
        <w:tc>
          <w:tcPr>
            <w:tcW w:type="dxa" w:w="1613"/>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440"/>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261,450</w:t>
            </w:r>
          </w:p>
        </w:tc>
      </w:tr>
      <w:tr>
        <w:trPr>
          <w:cantSplit/>
        </w:trPr>
        <w:tc>
          <w:tcPr>
            <w:tcW w:type="dxa" w:w="547"/>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143</w:t>
            </w:r>
          </w:p>
        </w:tc>
        <w:tc>
          <w:tcPr>
            <w:tcW w:type="dxa" w:w="1368"/>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Summary</w:t>
            </w:r>
          </w:p>
        </w:tc>
        <w:tc>
          <w:tcPr>
            <w:tcW w:type="dxa" w:w="439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Priced capital including contingency</w:t>
            </w:r>
          </w:p>
        </w:tc>
        <w:tc>
          <w:tcPr>
            <w:tcW w:type="dxa" w:w="115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613"/>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440"/>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2,004,450</w:t>
            </w:r>
          </w:p>
        </w:tc>
      </w:tr>
      <w:tr>
        <w:trPr>
          <w:cantSplit/>
        </w:trPr>
        <w:tc>
          <w:tcPr>
            <w:tcW w:type="dxa" w:w="547"/>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144</w:t>
            </w:r>
          </w:p>
        </w:tc>
        <w:tc>
          <w:tcPr>
            <w:tcW w:type="dxa" w:w="1368"/>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Summary</w:t>
            </w:r>
          </w:p>
        </w:tc>
        <w:tc>
          <w:tcPr>
            <w:tcW w:type="dxa" w:w="439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First full operating year</w:t>
            </w:r>
          </w:p>
        </w:tc>
        <w:tc>
          <w:tcPr>
            <w:tcW w:type="dxa" w:w="115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613"/>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440"/>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210,000</w:t>
            </w:r>
          </w:p>
        </w:tc>
      </w:tr>
      <w:tr>
        <w:trPr>
          <w:cantSplit/>
        </w:trPr>
        <w:tc>
          <w:tcPr>
            <w:tcW w:type="dxa" w:w="547"/>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145</w:t>
            </w:r>
          </w:p>
        </w:tc>
        <w:tc>
          <w:tcPr>
            <w:tcW w:type="dxa" w:w="1368"/>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TOTAL</w:t>
            </w:r>
          </w:p>
        </w:tc>
        <w:tc>
          <w:tcPr>
            <w:tcW w:type="dxa" w:w="439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pPr>
            <w:r>
              <w:rPr>
                <w:b/>
                <w:color w:val="000000"/>
                <w:sz w:val="18"/>
              </w:rPr>
              <w:t>Priced capital and one operating year</w:t>
            </w:r>
          </w:p>
        </w:tc>
        <w:tc>
          <w:tcPr>
            <w:tcW w:type="dxa" w:w="1152"/>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613"/>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r>
          </w:p>
        </w:tc>
        <w:tc>
          <w:tcPr>
            <w:tcW w:type="dxa" w:w="1440"/>
            <w:vAlign w:val="center"/>
            <w:tcBorders>
              <w:top w:val="single" w:sz="4" w:color="D9D9D9"/>
              <w:bottom w:val="single" w:sz="4" w:color="D9D9D9"/>
              <w:left w:val="single" w:sz="4" w:color="D9D9D9"/>
              <w:right w:val="single" w:sz="4" w:color="D9D9D9"/>
            </w:tcBorders>
            <w:shd w:fill="E5EBF2"/>
            <w:tcMar>
              <w:top w:w="65" w:type="dxa"/>
              <w:bottom w:w="65" w:type="dxa"/>
              <w:left w:w="65" w:type="dxa"/>
              <w:right w:w="65" w:type="dxa"/>
            </w:tcMar>
          </w:tcPr>
          <w:p>
            <w:pPr>
              <w:spacing w:after="0" w:before="0" w:line="240" w:lineRule="auto"/>
              <w:jc w:val="right"/>
            </w:pPr>
            <w:r>
              <w:rPr>
                <w:b/>
                <w:color w:val="000000"/>
                <w:sz w:val="18"/>
              </w:rPr>
              <w:t>2,214,450</w:t>
            </w:r>
          </w:p>
        </w:tc>
      </w:tr>
    </w:tbl>
    <w:sectPr w:rsidR="00FC693F" w:rsidRPr="0006063C" w:rsidSect="00034616">
      <w:footerReference w:type="default" r:id="rId9"/>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AfriRemoteLabs | For scrutiny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